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22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 2023 г.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>.2023 г. в с. Борован, на ул. „Освобождение“ № 1 се провед</w:t>
      </w:r>
      <w:r>
        <w:rPr>
          <w:rFonts w:ascii="Times New Roman" w:hAnsi="Times New Roman" w:cs="Times New Roman"/>
          <w:sz w:val="24"/>
          <w:szCs w:val="24"/>
          <w:lang w:val="bg-BG"/>
        </w:rPr>
        <w:t>оха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няколко</w:t>
      </w:r>
      <w:r>
        <w:rPr>
          <w:rFonts w:ascii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sz w:val="24"/>
          <w:szCs w:val="24"/>
          <w:lang w:val="bg-BG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 ОИК Борован.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doub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bg-BG"/>
        </w:rPr>
        <w:t>Първо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double"/>
          <w:lang w:val="bg-BG"/>
        </w:rPr>
        <w:t xml:space="preserve"> заседание: 09:00 ч.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Отсъ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тват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4 членове на комисията.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Разглеждане на постъпил сигнал от Георги Ралчев.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Седем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1.1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Проект за решение №90,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Постъпил сигнал от Георги Ралчев.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Седем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Решението се приема под № 90 - МИ от 29. 10. 2023 г.                                                                                            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doub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bg-BG"/>
        </w:rPr>
        <w:t>Второ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double"/>
          <w:lang w:val="bg-BG"/>
        </w:rPr>
        <w:t xml:space="preserve"> заседание: 14:10 ч.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Отсъ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тват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4 членове на комисията.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Разглеждане на постъпила жалба от Георги Ралчев.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Седем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Проект за решение №91,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Постъпил сигнал от Георги Ралчев.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Седем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Решението се приема под № 91 - МИ от 29. 10. 2023 г.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double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    Тре</w:t>
      </w:r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bg-BG"/>
        </w:rPr>
        <w:t>то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double"/>
          <w:lang w:val="bg-BG"/>
        </w:rPr>
        <w:t xml:space="preserve"> заседание: 20:20 ч.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Обявяване края на изборния ден.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№94, относно: Обявяване края на изборния ден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Единадесет.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Решението се приема под № 94 - МИ от 29. 10. 2023 г.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                                                             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double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    Четвър</w:t>
      </w:r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bg-BG"/>
        </w:rPr>
        <w:t>то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double"/>
          <w:lang w:val="bg-BG"/>
        </w:rPr>
        <w:t xml:space="preserve"> заседание: 21:10 ч.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Разглеждане жалба от Иван Костовски.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Проект за решение №92,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Постъпил сигнал от Георги Ралчев.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Единадесет.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Решението се приема под № 92 - МИ от 29. 10. 2023 г.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double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    Пе</w:t>
      </w:r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bg-BG"/>
        </w:rPr>
        <w:t>то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double"/>
          <w:lang w:val="bg-BG"/>
        </w:rPr>
        <w:t xml:space="preserve"> заседание: 23:05 ч.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Разглеждане жалба от Иглика Сълковска.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Проект за решение №93,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Постъпил сигнал от Георги Ралчев.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Единадесет.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Решението се приема под № 93 - МИ от 29. 10. 2023 г.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Силия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1C286"/>
    <w:multiLevelType w:val="multilevel"/>
    <w:tmpl w:val="A341C286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13A02B3"/>
    <w:rsid w:val="03792575"/>
    <w:rsid w:val="05B336B9"/>
    <w:rsid w:val="062C4CB3"/>
    <w:rsid w:val="07321009"/>
    <w:rsid w:val="075E69A6"/>
    <w:rsid w:val="08525202"/>
    <w:rsid w:val="0C470C54"/>
    <w:rsid w:val="0C5263DC"/>
    <w:rsid w:val="0CD44F4A"/>
    <w:rsid w:val="0E633AA8"/>
    <w:rsid w:val="0F1A6D7C"/>
    <w:rsid w:val="148E76C7"/>
    <w:rsid w:val="16337695"/>
    <w:rsid w:val="18976B09"/>
    <w:rsid w:val="18EA2340"/>
    <w:rsid w:val="190B16D4"/>
    <w:rsid w:val="195B507B"/>
    <w:rsid w:val="1D5C7E8D"/>
    <w:rsid w:val="1DFD6336"/>
    <w:rsid w:val="1E757C88"/>
    <w:rsid w:val="21705E5B"/>
    <w:rsid w:val="271528E9"/>
    <w:rsid w:val="291C1B4E"/>
    <w:rsid w:val="2A2E495C"/>
    <w:rsid w:val="305B42FB"/>
    <w:rsid w:val="3467740B"/>
    <w:rsid w:val="34B5476C"/>
    <w:rsid w:val="380A2F0C"/>
    <w:rsid w:val="385B0E4C"/>
    <w:rsid w:val="39052593"/>
    <w:rsid w:val="39B84BA2"/>
    <w:rsid w:val="432C1ED3"/>
    <w:rsid w:val="44D7775E"/>
    <w:rsid w:val="47896076"/>
    <w:rsid w:val="4DE77693"/>
    <w:rsid w:val="515164FB"/>
    <w:rsid w:val="516A3D26"/>
    <w:rsid w:val="51D467E8"/>
    <w:rsid w:val="52CA0C50"/>
    <w:rsid w:val="539C1B2F"/>
    <w:rsid w:val="547639DB"/>
    <w:rsid w:val="54A7252E"/>
    <w:rsid w:val="587E6295"/>
    <w:rsid w:val="588178EB"/>
    <w:rsid w:val="59C33EF7"/>
    <w:rsid w:val="5AC43053"/>
    <w:rsid w:val="5E5D73D0"/>
    <w:rsid w:val="607F4827"/>
    <w:rsid w:val="60C11FA5"/>
    <w:rsid w:val="60FC33C5"/>
    <w:rsid w:val="61A41E07"/>
    <w:rsid w:val="6239237A"/>
    <w:rsid w:val="625B64ED"/>
    <w:rsid w:val="62B50C21"/>
    <w:rsid w:val="635A2372"/>
    <w:rsid w:val="63690C06"/>
    <w:rsid w:val="63BE24AC"/>
    <w:rsid w:val="659B0B48"/>
    <w:rsid w:val="660825E9"/>
    <w:rsid w:val="67B41AEC"/>
    <w:rsid w:val="699112E4"/>
    <w:rsid w:val="703863E7"/>
    <w:rsid w:val="71C60286"/>
    <w:rsid w:val="731055FC"/>
    <w:rsid w:val="74C95950"/>
    <w:rsid w:val="782E38D4"/>
    <w:rsid w:val="7D9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line="240" w:lineRule="auto"/>
      <w:ind w:firstLine="720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0" w:after="40" w:afterAutospacing="0"/>
      <w:ind w:left="0" w:right="0" w:firstLine="720"/>
      <w:jc w:val="both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8</TotalTime>
  <ScaleCrop>false</ScaleCrop>
  <LinksUpToDate>false</LinksUpToDate>
  <CharactersWithSpaces>2233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2023-10-26T15:58:00Z</cp:lastPrinted>
  <dcterms:modified xsi:type="dcterms:W3CDTF">2023-11-05T13:14:32Z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7F32CA3BA7A840B7B3303B15123C7386_13</vt:lpwstr>
  </property>
</Properties>
</file>